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329" w:rsidRPr="00EF3D9C" w:rsidRDefault="00463B6E">
      <w:pPr>
        <w:spacing w:line="594" w:lineRule="exact"/>
        <w:rPr>
          <w:rFonts w:ascii="黑体" w:eastAsia="黑体" w:hAnsi="黑体"/>
          <w:sz w:val="32"/>
          <w:szCs w:val="32"/>
        </w:rPr>
      </w:pPr>
      <w:r w:rsidRPr="00EF3D9C">
        <w:rPr>
          <w:rFonts w:ascii="黑体" w:eastAsia="黑体" w:hAnsi="黑体" w:hint="eastAsia"/>
          <w:sz w:val="32"/>
          <w:szCs w:val="32"/>
        </w:rPr>
        <w:t>附件</w:t>
      </w:r>
      <w:r w:rsidRPr="00EF3D9C">
        <w:rPr>
          <w:rFonts w:ascii="黑体" w:eastAsia="黑体" w:hAnsi="黑体"/>
          <w:sz w:val="32"/>
          <w:szCs w:val="32"/>
        </w:rPr>
        <w:t>1-</w:t>
      </w:r>
      <w:r w:rsidRPr="00EF3D9C">
        <w:rPr>
          <w:rFonts w:ascii="黑体" w:eastAsia="黑体" w:hAnsi="黑体" w:hint="eastAsia"/>
          <w:sz w:val="32"/>
          <w:szCs w:val="32"/>
        </w:rPr>
        <w:t>1</w:t>
      </w:r>
    </w:p>
    <w:p w:rsidR="00544329" w:rsidRDefault="00463B6E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电动童车产品质量国家监督抽查结果</w:t>
      </w:r>
    </w:p>
    <w:p w:rsidR="00544329" w:rsidRDefault="00463B6E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本次共抽查了</w:t>
      </w:r>
      <w:r w:rsidR="00DC0864">
        <w:rPr>
          <w:rFonts w:ascii="仿宋_GB2312" w:eastAsia="仿宋_GB2312" w:hAnsi="仿宋" w:cs="方正仿宋简体" w:hint="eastAsia"/>
          <w:color w:val="000000"/>
          <w:sz w:val="32"/>
          <w:szCs w:val="32"/>
        </w:rPr>
        <w:t>河北、江苏、浙江、福建、山东、广东</w:t>
      </w:r>
      <w:r>
        <w:rPr>
          <w:rFonts w:ascii="仿宋_GB2312" w:eastAsia="仿宋_GB2312" w:hAnsi="仿宋" w:cs="方正仿宋简体" w:hint="eastAsia"/>
          <w:color w:val="000000"/>
          <w:sz w:val="32"/>
          <w:szCs w:val="32"/>
        </w:rPr>
        <w:t>等</w:t>
      </w:r>
      <w:r>
        <w:rPr>
          <w:rFonts w:ascii="仿宋_GB2312" w:eastAsia="仿宋_GB2312" w:hAnsi="仿宋" w:cs="方正仿宋简体"/>
          <w:color w:val="00000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sz w:val="32"/>
          <w:szCs w:val="32"/>
        </w:rPr>
        <w:t>个省</w:t>
      </w:r>
      <w:r>
        <w:rPr>
          <w:rFonts w:ascii="仿宋_GB2312" w:eastAsia="仿宋_GB2312" w:hAnsi="仿宋" w:cs="仿宋_GB2312"/>
          <w:sz w:val="32"/>
          <w:szCs w:val="32"/>
        </w:rPr>
        <w:t>43</w:t>
      </w:r>
      <w:r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>
        <w:rPr>
          <w:rFonts w:ascii="仿宋_GB2312" w:eastAsia="仿宋_GB2312" w:hAnsi="仿宋" w:cs="仿宋_GB2312"/>
          <w:sz w:val="32"/>
          <w:szCs w:val="32"/>
        </w:rPr>
        <w:t>43</w:t>
      </w:r>
      <w:r>
        <w:rPr>
          <w:rFonts w:ascii="仿宋_GB2312" w:eastAsia="仿宋_GB2312" w:hAnsi="仿宋" w:cs="仿宋_GB2312" w:hint="eastAsia"/>
          <w:sz w:val="32"/>
          <w:szCs w:val="32"/>
        </w:rPr>
        <w:t>批次电动童车产品，对</w:t>
      </w:r>
      <w:r>
        <w:rPr>
          <w:rFonts w:ascii="仿宋_GB2312" w:eastAsia="仿宋_GB2312" w:hAnsi="仿宋" w:cs="仿宋_GB2312"/>
          <w:sz w:val="32"/>
          <w:szCs w:val="32"/>
        </w:rPr>
        <w:t>42</w:t>
      </w:r>
      <w:r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>
        <w:rPr>
          <w:rFonts w:ascii="仿宋_GB2312" w:eastAsia="仿宋_GB2312" w:hAnsi="仿宋" w:cs="仿宋_GB2312"/>
          <w:sz w:val="32"/>
          <w:szCs w:val="32"/>
        </w:rPr>
        <w:t>42</w:t>
      </w:r>
      <w:r>
        <w:rPr>
          <w:rFonts w:ascii="仿宋_GB2312" w:eastAsia="仿宋_GB2312" w:hAnsi="仿宋" w:cs="仿宋_GB2312" w:hint="eastAsia"/>
          <w:sz w:val="32"/>
          <w:szCs w:val="32"/>
        </w:rPr>
        <w:t>批次产品进行了检验。</w:t>
      </w:r>
    </w:p>
    <w:p w:rsidR="00544329" w:rsidRDefault="00463B6E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本次抽查依据</w:t>
      </w:r>
      <w:r>
        <w:rPr>
          <w:rFonts w:ascii="仿宋_GB2312" w:eastAsia="仿宋_GB2312" w:hAnsi="仿宋" w:cs="方正仿宋简体"/>
          <w:sz w:val="32"/>
          <w:szCs w:val="32"/>
        </w:rPr>
        <w:t>GB</w:t>
      </w:r>
      <w:r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>
        <w:rPr>
          <w:rFonts w:ascii="仿宋_GB2312" w:eastAsia="仿宋_GB2312" w:hAnsi="仿宋" w:cs="方正仿宋简体"/>
          <w:sz w:val="32"/>
          <w:szCs w:val="32"/>
        </w:rPr>
        <w:t>6675.1-2014</w:t>
      </w:r>
      <w:r>
        <w:rPr>
          <w:rFonts w:ascii="仿宋_GB2312" w:eastAsia="仿宋_GB2312" w:hAnsi="仿宋" w:cs="方正仿宋简体" w:hint="eastAsia"/>
          <w:sz w:val="32"/>
          <w:szCs w:val="32"/>
        </w:rPr>
        <w:t>《玩具安全第</w:t>
      </w:r>
      <w:r>
        <w:rPr>
          <w:rFonts w:ascii="仿宋_GB2312" w:eastAsia="仿宋_GB2312" w:hAnsi="仿宋" w:cs="方正仿宋简体"/>
          <w:sz w:val="32"/>
          <w:szCs w:val="32"/>
        </w:rPr>
        <w:t>1</w:t>
      </w:r>
      <w:r>
        <w:rPr>
          <w:rFonts w:ascii="仿宋_GB2312" w:eastAsia="仿宋_GB2312" w:hAnsi="仿宋" w:cs="方正仿宋简体" w:hint="eastAsia"/>
          <w:sz w:val="32"/>
          <w:szCs w:val="32"/>
        </w:rPr>
        <w:t>部分：基本规范》、</w:t>
      </w:r>
      <w:r>
        <w:rPr>
          <w:rFonts w:ascii="仿宋_GB2312" w:eastAsia="仿宋_GB2312" w:hAnsi="仿宋" w:cs="方正仿宋简体"/>
          <w:sz w:val="32"/>
          <w:szCs w:val="32"/>
        </w:rPr>
        <w:t>GB</w:t>
      </w:r>
      <w:r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>
        <w:rPr>
          <w:rFonts w:ascii="仿宋_GB2312" w:eastAsia="仿宋_GB2312" w:hAnsi="仿宋" w:cs="方正仿宋简体"/>
          <w:sz w:val="32"/>
          <w:szCs w:val="32"/>
        </w:rPr>
        <w:t>6675.2-2014</w:t>
      </w:r>
      <w:r>
        <w:rPr>
          <w:rFonts w:ascii="仿宋_GB2312" w:eastAsia="仿宋_GB2312" w:hAnsi="仿宋" w:cs="方正仿宋简体" w:hint="eastAsia"/>
          <w:sz w:val="32"/>
          <w:szCs w:val="32"/>
        </w:rPr>
        <w:t>《玩具安全</w:t>
      </w:r>
      <w:r w:rsidR="00A47826"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>
        <w:rPr>
          <w:rFonts w:ascii="仿宋_GB2312" w:eastAsia="仿宋_GB2312" w:hAnsi="仿宋" w:cs="方正仿宋简体" w:hint="eastAsia"/>
          <w:sz w:val="32"/>
          <w:szCs w:val="32"/>
        </w:rPr>
        <w:t>第</w:t>
      </w:r>
      <w:r w:rsidR="00A47826">
        <w:rPr>
          <w:rFonts w:ascii="仿宋_GB2312" w:eastAsia="仿宋_GB2312" w:hAnsi="仿宋" w:cs="方正仿宋简体" w:hint="eastAsia"/>
          <w:sz w:val="32"/>
          <w:szCs w:val="32"/>
        </w:rPr>
        <w:t>2</w:t>
      </w:r>
      <w:r>
        <w:rPr>
          <w:rFonts w:ascii="仿宋_GB2312" w:eastAsia="仿宋_GB2312" w:hAnsi="仿宋" w:cs="方正仿宋简体" w:hint="eastAsia"/>
          <w:sz w:val="32"/>
          <w:szCs w:val="32"/>
        </w:rPr>
        <w:t>部分：机械与物理性能》、</w:t>
      </w:r>
      <w:r>
        <w:rPr>
          <w:rFonts w:ascii="仿宋_GB2312" w:eastAsia="仿宋_GB2312" w:hAnsi="仿宋" w:cs="方正仿宋简体"/>
          <w:sz w:val="32"/>
          <w:szCs w:val="32"/>
        </w:rPr>
        <w:t>GB</w:t>
      </w:r>
      <w:r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>
        <w:rPr>
          <w:rFonts w:ascii="仿宋_GB2312" w:eastAsia="仿宋_GB2312" w:hAnsi="仿宋" w:cs="方正仿宋简体"/>
          <w:sz w:val="32"/>
          <w:szCs w:val="32"/>
        </w:rPr>
        <w:t>6675.3-2014</w:t>
      </w:r>
      <w:r>
        <w:rPr>
          <w:rFonts w:ascii="仿宋_GB2312" w:eastAsia="仿宋_GB2312" w:hAnsi="仿宋" w:cs="方正仿宋简体" w:hint="eastAsia"/>
          <w:sz w:val="32"/>
          <w:szCs w:val="32"/>
        </w:rPr>
        <w:t>《玩具安全</w:t>
      </w:r>
      <w:r w:rsidR="00A47826"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_GB2312" w:hint="eastAsia"/>
          <w:sz w:val="32"/>
          <w:szCs w:val="32"/>
        </w:rPr>
        <w:t>第</w:t>
      </w:r>
      <w:r>
        <w:rPr>
          <w:rFonts w:ascii="仿宋_GB2312" w:eastAsia="仿宋_GB2312" w:hAnsi="仿宋" w:cs="仿宋_GB2312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sz w:val="32"/>
          <w:szCs w:val="32"/>
        </w:rPr>
        <w:t>部分：易燃性能》、</w:t>
      </w:r>
      <w:r>
        <w:rPr>
          <w:rFonts w:ascii="仿宋_GB2312" w:eastAsia="仿宋_GB2312" w:hAnsi="仿宋" w:cs="仿宋_GB2312"/>
          <w:sz w:val="32"/>
          <w:szCs w:val="32"/>
        </w:rPr>
        <w:t>GB</w:t>
      </w:r>
      <w:r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</w:rPr>
        <w:t>6675.4-2014</w:t>
      </w:r>
      <w:r>
        <w:rPr>
          <w:rFonts w:ascii="仿宋_GB2312" w:eastAsia="仿宋_GB2312" w:hAnsi="仿宋" w:cs="仿宋_GB2312" w:hint="eastAsia"/>
          <w:sz w:val="32"/>
          <w:szCs w:val="32"/>
        </w:rPr>
        <w:t>《玩具安全</w:t>
      </w:r>
      <w:r w:rsidR="00A47826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_GB2312" w:hint="eastAsia"/>
          <w:sz w:val="32"/>
          <w:szCs w:val="32"/>
        </w:rPr>
        <w:t>第</w:t>
      </w:r>
      <w:r>
        <w:rPr>
          <w:rFonts w:ascii="仿宋_GB2312" w:eastAsia="仿宋_GB2312" w:hAnsi="仿宋" w:cs="仿宋_GB2312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部分：特定元素的迁移》、</w:t>
      </w:r>
      <w:r>
        <w:rPr>
          <w:rFonts w:ascii="仿宋_GB2312" w:eastAsia="仿宋_GB2312" w:hAnsi="仿宋" w:cs="仿宋_GB2312"/>
          <w:sz w:val="32"/>
          <w:szCs w:val="32"/>
        </w:rPr>
        <w:t>GB</w:t>
      </w:r>
      <w:r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</w:rPr>
        <w:t>19865-2005</w:t>
      </w:r>
      <w:r>
        <w:rPr>
          <w:rFonts w:ascii="仿宋_GB2312" w:eastAsia="仿宋_GB2312" w:hAnsi="仿宋" w:cs="仿宋_GB2312" w:hint="eastAsia"/>
          <w:sz w:val="32"/>
          <w:szCs w:val="32"/>
        </w:rPr>
        <w:t>《电玩具的安全》等标准的要求，对电动</w:t>
      </w:r>
      <w:r>
        <w:rPr>
          <w:rFonts w:ascii="仿宋_GB2312" w:eastAsia="仿宋_GB2312" w:hAnsi="仿宋" w:cs="方正仿宋简体" w:hint="eastAsia"/>
          <w:sz w:val="32"/>
          <w:szCs w:val="32"/>
        </w:rPr>
        <w:t>童车产品的</w:t>
      </w:r>
      <w:r>
        <w:rPr>
          <w:rFonts w:ascii="仿宋_GB2312" w:eastAsia="仿宋_GB2312" w:hAnsi="仿宋" w:cs="仿宋_GB2312" w:hint="eastAsia"/>
          <w:sz w:val="32"/>
          <w:szCs w:val="32"/>
        </w:rPr>
        <w:t>材料、小零件、小球、可触及的金属或玻璃边缘、功能性锐利边缘、金属玩具边缘、模塑玩具边缘、外露螺栓或螺纹杆的边缘、可触及的锐利尖端、功能性锐利尖端、突出物、折叠机构、带有折叠机构的其他玩具、铰链线间隙、刚性材料上的圆孔、活动部件间的间隙、弹簧、可用脚起稳定作用的玩具的侧倾稳定性、不可用脚起稳定作用的玩具的侧倾稳定性、前后稳定性、乘骑玩具及座位的超载要求、制动装置、电动童车的速度要求、声响要求、一般要求、可迁移元素最大限量、年龄范围、正常工作条件下温升、可触及不同极性间绝缘短路下温升、限制温度的控制器短路下温升、可触及运动部件堵住下温升、变压器玩具和带电池盒的玩具温升、电子电路符合性测试、试验期间玩具符合性等</w:t>
      </w:r>
      <w:r>
        <w:rPr>
          <w:rFonts w:ascii="仿宋_GB2312" w:eastAsia="仿宋_GB2312" w:hAnsi="仿宋" w:cs="仿宋_GB2312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sz w:val="32"/>
          <w:szCs w:val="32"/>
        </w:rPr>
        <w:t>4个项目进行了检验。</w:t>
      </w:r>
    </w:p>
    <w:p w:rsidR="00544329" w:rsidRDefault="00463B6E" w:rsidP="0045126A">
      <w:pPr>
        <w:adjustRightInd w:val="0"/>
        <w:snapToGrid w:val="0"/>
        <w:spacing w:line="594" w:lineRule="exact"/>
        <w:ind w:firstLineChars="200" w:firstLine="640"/>
      </w:pPr>
      <w:r>
        <w:rPr>
          <w:rFonts w:ascii="仿宋_GB2312" w:eastAsia="仿宋_GB2312" w:hAnsi="仿宋" w:cs="仿宋_GB2312" w:hint="eastAsia"/>
          <w:sz w:val="32"/>
          <w:szCs w:val="32"/>
        </w:rPr>
        <w:t>抽查发现有</w:t>
      </w:r>
      <w:r>
        <w:rPr>
          <w:rFonts w:ascii="仿宋_GB2312" w:eastAsia="仿宋_GB2312" w:hAnsi="仿宋" w:cs="仿宋_GB2312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批次产品不符合标准的规定，涉及到活动部件间的间隙、前后稳定性、可用脚起稳定作用的玩具的侧倾稳定性、正</w:t>
      </w:r>
      <w:r>
        <w:rPr>
          <w:rFonts w:ascii="仿宋_GB2312" w:eastAsia="仿宋_GB2312" w:hAnsi="仿宋" w:cs="仿宋_GB2312" w:hint="eastAsia"/>
          <w:sz w:val="32"/>
          <w:szCs w:val="32"/>
        </w:rPr>
        <w:lastRenderedPageBreak/>
        <w:t>常工作条件下温升</w:t>
      </w:r>
      <w:r w:rsidR="00DC0864"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 w:hint="eastAsia"/>
          <w:sz w:val="32"/>
          <w:szCs w:val="32"/>
        </w:rPr>
        <w:t>可触及运动部件堵住下温升项目。具体抽查结果见附表</w:t>
      </w:r>
      <w:r>
        <w:rPr>
          <w:rFonts w:ascii="仿宋_GB2312" w:eastAsia="仿宋_GB2312" w:hAnsi="黑体"/>
          <w:sz w:val="32"/>
          <w:szCs w:val="32"/>
        </w:rPr>
        <w:t>1</w:t>
      </w:r>
      <w:bookmarkStart w:id="0" w:name="_GoBack"/>
      <w:bookmarkEnd w:id="0"/>
      <w:r w:rsidR="0045126A">
        <w:rPr>
          <w:rFonts w:ascii="仿宋_GB2312" w:eastAsia="仿宋_GB2312" w:hAnsi="黑体" w:hint="eastAsia"/>
          <w:sz w:val="32"/>
          <w:szCs w:val="32"/>
        </w:rPr>
        <w:t>。</w:t>
      </w:r>
    </w:p>
    <w:sectPr w:rsidR="00544329" w:rsidSect="0045126A">
      <w:pgSz w:w="11906" w:h="16838"/>
      <w:pgMar w:top="1418" w:right="1274" w:bottom="1418" w:left="1276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7AB" w:rsidRDefault="002557AB" w:rsidP="00DC0864">
      <w:r>
        <w:separator/>
      </w:r>
    </w:p>
  </w:endnote>
  <w:endnote w:type="continuationSeparator" w:id="1">
    <w:p w:rsidR="002557AB" w:rsidRDefault="002557AB" w:rsidP="00DC0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7AB" w:rsidRDefault="002557AB" w:rsidP="00DC0864">
      <w:r>
        <w:separator/>
      </w:r>
    </w:p>
  </w:footnote>
  <w:footnote w:type="continuationSeparator" w:id="1">
    <w:p w:rsidR="002557AB" w:rsidRDefault="002557AB" w:rsidP="00DC08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75F"/>
    <w:rsid w:val="00077903"/>
    <w:rsid w:val="000F420C"/>
    <w:rsid w:val="001D30C8"/>
    <w:rsid w:val="002112DC"/>
    <w:rsid w:val="00242EA7"/>
    <w:rsid w:val="002557AB"/>
    <w:rsid w:val="002A73B8"/>
    <w:rsid w:val="00322545"/>
    <w:rsid w:val="00324DF7"/>
    <w:rsid w:val="00357DD9"/>
    <w:rsid w:val="003C0EAE"/>
    <w:rsid w:val="00437FCA"/>
    <w:rsid w:val="0045126A"/>
    <w:rsid w:val="00463B6E"/>
    <w:rsid w:val="004852A1"/>
    <w:rsid w:val="0052373B"/>
    <w:rsid w:val="00544329"/>
    <w:rsid w:val="00605908"/>
    <w:rsid w:val="00644C8E"/>
    <w:rsid w:val="006A5E65"/>
    <w:rsid w:val="00772171"/>
    <w:rsid w:val="008570B9"/>
    <w:rsid w:val="008B2384"/>
    <w:rsid w:val="008B7DA3"/>
    <w:rsid w:val="009D7E89"/>
    <w:rsid w:val="00A47826"/>
    <w:rsid w:val="00A76491"/>
    <w:rsid w:val="00AB375F"/>
    <w:rsid w:val="00B64F4E"/>
    <w:rsid w:val="00BA5BAF"/>
    <w:rsid w:val="00C87821"/>
    <w:rsid w:val="00D15C53"/>
    <w:rsid w:val="00D6321A"/>
    <w:rsid w:val="00D65403"/>
    <w:rsid w:val="00DC0864"/>
    <w:rsid w:val="00E874C9"/>
    <w:rsid w:val="00E901B0"/>
    <w:rsid w:val="00EF3D9C"/>
    <w:rsid w:val="00F14DB2"/>
    <w:rsid w:val="00FE7771"/>
    <w:rsid w:val="0AB31B4B"/>
    <w:rsid w:val="141C6166"/>
    <w:rsid w:val="24530858"/>
    <w:rsid w:val="55377ED5"/>
    <w:rsid w:val="6BBF1E16"/>
    <w:rsid w:val="733D4C4A"/>
    <w:rsid w:val="77D16FC1"/>
    <w:rsid w:val="79DC4B06"/>
    <w:rsid w:val="7ABC4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2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4432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4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544329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4432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ycj</dc:creator>
  <cp:lastModifiedBy>easy</cp:lastModifiedBy>
  <cp:revision>23</cp:revision>
  <cp:lastPrinted>2019-01-15T05:46:00Z</cp:lastPrinted>
  <dcterms:created xsi:type="dcterms:W3CDTF">2019-01-09T12:57:00Z</dcterms:created>
  <dcterms:modified xsi:type="dcterms:W3CDTF">2019-01-17T06:03:00Z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